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B7A2A" w14:textId="77777777" w:rsidR="005A05B7" w:rsidRPr="00B82780" w:rsidRDefault="005A05B7" w:rsidP="00B82780">
      <w:pPr>
        <w:spacing w:before="240"/>
        <w:jc w:val="both"/>
        <w:rPr>
          <w:rFonts w:ascii="Arial" w:hAnsi="Arial" w:cs="Arial"/>
          <w:sz w:val="32"/>
          <w:szCs w:val="32"/>
        </w:rPr>
      </w:pPr>
    </w:p>
    <w:p w14:paraId="72EA61BD"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TÉCNICA/FERRAMENTA – MEDIDA DE AVALIAÇÃO -   NÃO PARAMÉTRICA QUE EMPREGA PROGRAMAÇÃO MATEMÁTICA PARA CONSTRUIR FRONTEIRAS DE PRODUÇÃO DE UNIDADES PRODUTIVAS. (DMUS). QUE EMPREGA PROCESSOS TECNOLÓGICOS SEMELHANTES PARA TRASNFORMAR MULTIPLOS INSUMOS EM MULTIPLOS PRODUTOS. </w:t>
      </w:r>
    </w:p>
    <w:p w14:paraId="24B4909D"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ENVOLVE PRODUTIVIDADE, EFICIENCIA E EVOLUÇAÕ. </w:t>
      </w:r>
    </w:p>
    <w:p w14:paraId="3E1CA1BD"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Tais fronteiras são empregadas para avaliar a eficiência relativa dos planos de operação executados pelas </w:t>
      </w:r>
      <w:proofErr w:type="spellStart"/>
      <w:r w:rsidRPr="00B82780">
        <w:rPr>
          <w:rFonts w:ascii="Arial" w:hAnsi="Arial" w:cs="Arial"/>
          <w:sz w:val="32"/>
          <w:szCs w:val="32"/>
        </w:rPr>
        <w:t>DMUs</w:t>
      </w:r>
      <w:proofErr w:type="spellEnd"/>
      <w:r w:rsidRPr="00B82780">
        <w:rPr>
          <w:rFonts w:ascii="Arial" w:hAnsi="Arial" w:cs="Arial"/>
          <w:sz w:val="32"/>
          <w:szCs w:val="32"/>
        </w:rPr>
        <w:t xml:space="preserve"> e servem, também, como referência para o estabelecimento de metas eficientes para cada unidade produtiva. A DEA foi desenvolvida para avaliar a eficiência de organizações cujas atividades não visam lucros ou para as quais não existem preços pré-fixados para todos os insumos e/ou todos os produtos. Por estes motivos este técnica é uma alternativa no estudo da eficiência das instituições superiores.</w:t>
      </w:r>
    </w:p>
    <w:p w14:paraId="6B75AD2B"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Reflete a tecnologia usada, já que a estimativa de uma fronteira de produção é influenciada pelas unidades de melhor desempenho dentro da amostra de unidades analisada, enquanto que as funções de médias fornecem a forma da tecnologia de uma unidade média; A função de produção representa as melhores práticas e, assim, as eficiências das unidades podem ser medidas.</w:t>
      </w:r>
    </w:p>
    <w:p w14:paraId="1C813ED6" w14:textId="77777777" w:rsidR="005A05B7" w:rsidRPr="00B82780" w:rsidRDefault="005A05B7" w:rsidP="00B82780">
      <w:pPr>
        <w:spacing w:before="240"/>
        <w:jc w:val="both"/>
        <w:rPr>
          <w:rFonts w:ascii="Arial" w:hAnsi="Arial" w:cs="Arial"/>
          <w:sz w:val="32"/>
          <w:szCs w:val="32"/>
        </w:rPr>
      </w:pPr>
    </w:p>
    <w:p w14:paraId="25546718"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da eficiência produtiva e da eficiência alocativa. A eficiência produtiva, componente físico que se refere à habilidade de evitar desperdícios produzindo tantos resultados quanto os recursos utilizados permitirem ou utilizando o mínimo possível de recursos para aquela produção. Assim, a </w:t>
      </w:r>
      <w:r w:rsidRPr="00B82780">
        <w:rPr>
          <w:rFonts w:ascii="Arial" w:hAnsi="Arial" w:cs="Arial"/>
          <w:sz w:val="32"/>
          <w:szCs w:val="32"/>
        </w:rPr>
        <w:lastRenderedPageBreak/>
        <w:t>avaliação da eficiência produtiva pode ser orientada para o crescimento da produção, que visa ao aumento dos níveis de produção mantidas as quantidades de recursos; ou orientada para a economia de recursos, que busca a redução dos recursos utilizados mantendo-se os níveis de produção; ou orientada para alguma combinação desses dois objetivos. Em todos os casos, o objetivo é obter ganhos de produtividade através da eliminação das fontes de ineficiência. O segundo ponto de vista corresponde à eficiência alocativa e se refere à habilidade de combinar recursos e resultados em proporções ótimas dados os preços vigentes. A inexistência de qualquer tipo de relação de preços entre os resultados da atividade acadêmica inviabiliza a avaliação da eficiência alocativa de uma empresa pública.</w:t>
      </w:r>
    </w:p>
    <w:p w14:paraId="3203C4E8" w14:textId="77777777" w:rsidR="005A05B7" w:rsidRPr="00B82780" w:rsidRDefault="005A05B7" w:rsidP="00B82780">
      <w:pPr>
        <w:spacing w:before="240"/>
        <w:jc w:val="both"/>
        <w:rPr>
          <w:rFonts w:ascii="Arial" w:hAnsi="Arial" w:cs="Arial"/>
          <w:sz w:val="32"/>
          <w:szCs w:val="32"/>
        </w:rPr>
      </w:pPr>
    </w:p>
    <w:p w14:paraId="55A5D32B"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O Documento Básico do PAIUB, quando define o objetivo geral da avaliação institucional, apresenta a avaliação do desempenho como um instrumento para a melhoria da qualidade, MEC/PAIUB (1994) Lapa e Neiva (1996) e Belloni (2000) classificam os critérios mais usuais de avaliação em dois grandes grupos: os ligados à </w:t>
      </w:r>
      <w:proofErr w:type="spellStart"/>
      <w:r w:rsidRPr="00B82780">
        <w:rPr>
          <w:rFonts w:ascii="Arial" w:hAnsi="Arial" w:cs="Arial"/>
          <w:sz w:val="32"/>
          <w:szCs w:val="32"/>
        </w:rPr>
        <w:t>idéia</w:t>
      </w:r>
      <w:proofErr w:type="spellEnd"/>
      <w:r w:rsidRPr="00B82780">
        <w:rPr>
          <w:rFonts w:ascii="Arial" w:hAnsi="Arial" w:cs="Arial"/>
          <w:sz w:val="32"/>
          <w:szCs w:val="32"/>
        </w:rPr>
        <w:t xml:space="preserve"> de desempenho (aí considerados, produtividade, eficiência, eficácia e efetividade) e aqueles ligados à </w:t>
      </w:r>
      <w:proofErr w:type="spellStart"/>
      <w:r w:rsidRPr="00B82780">
        <w:rPr>
          <w:rFonts w:ascii="Arial" w:hAnsi="Arial" w:cs="Arial"/>
          <w:sz w:val="32"/>
          <w:szCs w:val="32"/>
        </w:rPr>
        <w:t>idéia</w:t>
      </w:r>
      <w:proofErr w:type="spellEnd"/>
      <w:r w:rsidRPr="00B82780">
        <w:rPr>
          <w:rFonts w:ascii="Arial" w:hAnsi="Arial" w:cs="Arial"/>
          <w:sz w:val="32"/>
          <w:szCs w:val="32"/>
        </w:rPr>
        <w:t xml:space="preserve"> de qualidade (utilidade e relevância).</w:t>
      </w:r>
    </w:p>
    <w:p w14:paraId="55A2FF1F"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na avaliação do desempenho organizacional, o observador deve </w:t>
      </w:r>
      <w:proofErr w:type="spellStart"/>
      <w:r w:rsidRPr="00B82780">
        <w:rPr>
          <w:rFonts w:ascii="Arial" w:hAnsi="Arial" w:cs="Arial"/>
          <w:sz w:val="32"/>
          <w:szCs w:val="32"/>
        </w:rPr>
        <w:t>colocarse</w:t>
      </w:r>
      <w:proofErr w:type="spellEnd"/>
      <w:r w:rsidRPr="00B82780">
        <w:rPr>
          <w:rFonts w:ascii="Arial" w:hAnsi="Arial" w:cs="Arial"/>
          <w:sz w:val="32"/>
          <w:szCs w:val="32"/>
        </w:rPr>
        <w:t xml:space="preserve"> dentro da organização universitária e considerar os recursos e os procedimentos utilizados, os resultados alcançados, as metas estabelecidas e a missão definida pela instituição, ou seja, a percepção que a própria instituição tem das demandas político-culturais.</w:t>
      </w:r>
    </w:p>
    <w:p w14:paraId="692234AE" w14:textId="77777777" w:rsidR="005A05B7" w:rsidRPr="00B82780" w:rsidRDefault="005A05B7" w:rsidP="00B82780">
      <w:pPr>
        <w:spacing w:before="240"/>
        <w:jc w:val="both"/>
        <w:rPr>
          <w:rFonts w:ascii="Arial" w:hAnsi="Arial" w:cs="Arial"/>
          <w:sz w:val="32"/>
          <w:szCs w:val="32"/>
        </w:rPr>
      </w:pPr>
    </w:p>
    <w:p w14:paraId="604BF10B"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lastRenderedPageBreak/>
        <w:t>Decorrem daí três dimensões distintas da avaliação do desempenho de uma universidade definidas por três diferentes maneiras de observar o objeto: - Dimensão técnico-operacional, que procura conhecer os recursos, os resultados e as relações de produção que ocorrem no interior da universidade, e cujos critérios de avaliação são a produtividade e a eficiência; - Dimensão pedagógica, que está relacionada com os processos educacionais propriamente ditos, tem como referência os objetivos e as metas organizacionais, cujo critério de avaliação é a eficácia; - Dimensão política, que busca aferir em que medida a instituição consegue responder aos desafios que lhe são impostos, em termos do cumprimento da missão institucional. O critério de avaliação é a efetividade. (Belloni, 2000, p. 32-33)</w:t>
      </w:r>
    </w:p>
    <w:p w14:paraId="5C6B1A2C" w14:textId="77777777" w:rsidR="005A05B7" w:rsidRPr="00B82780" w:rsidRDefault="005A05B7" w:rsidP="00B82780">
      <w:pPr>
        <w:spacing w:before="240"/>
        <w:jc w:val="both"/>
        <w:rPr>
          <w:rFonts w:ascii="Arial" w:hAnsi="Arial" w:cs="Arial"/>
          <w:sz w:val="32"/>
          <w:szCs w:val="32"/>
        </w:rPr>
      </w:pPr>
    </w:p>
    <w:p w14:paraId="13D7E866"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A avaliação da eficácia, enquanto critério associado à dimensão pedagógica, se dá pela confrontação dos processos acadêmicos utilizados e dos resultados alcançados com as metas e os objetivos relativos a toda atividade de ensino, pesquisa e extensão desenvolvida. Pressupõe que estejam explicitados os projetos pedagógicos, os currículos de cursos e programas, as políticas de pesquisa e de extensão e demais documentos que definem as metas e objetivos das atividades acadêmicas, e suas relações com os resultados alcançados.</w:t>
      </w:r>
    </w:p>
    <w:p w14:paraId="5CFB3F6F" w14:textId="77777777" w:rsidR="005A05B7" w:rsidRPr="00B82780" w:rsidRDefault="005A05B7" w:rsidP="00B82780">
      <w:pPr>
        <w:spacing w:before="240"/>
        <w:jc w:val="both"/>
        <w:rPr>
          <w:rFonts w:ascii="Arial" w:hAnsi="Arial" w:cs="Arial"/>
          <w:sz w:val="32"/>
          <w:szCs w:val="32"/>
        </w:rPr>
      </w:pPr>
    </w:p>
    <w:p w14:paraId="2DBD6FE0" w14:textId="77777777" w:rsidR="005A05B7" w:rsidRPr="00B82780" w:rsidRDefault="005A05B7" w:rsidP="00B82780">
      <w:pPr>
        <w:spacing w:before="240"/>
        <w:jc w:val="both"/>
        <w:rPr>
          <w:rFonts w:ascii="Arial" w:hAnsi="Arial" w:cs="Arial"/>
          <w:sz w:val="32"/>
          <w:szCs w:val="32"/>
        </w:rPr>
      </w:pPr>
    </w:p>
    <w:p w14:paraId="5779A317" w14:textId="77777777" w:rsidR="005A05B7" w:rsidRPr="00B82780" w:rsidRDefault="005A05B7" w:rsidP="00B82780">
      <w:pPr>
        <w:spacing w:before="240"/>
        <w:jc w:val="both"/>
        <w:rPr>
          <w:rFonts w:ascii="Arial" w:hAnsi="Arial" w:cs="Arial"/>
          <w:sz w:val="32"/>
          <w:szCs w:val="32"/>
        </w:rPr>
      </w:pPr>
    </w:p>
    <w:p w14:paraId="70728477"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Os procedimentos de avaliação da eficiência de uma IES baseiam-se em informações relativas aos recursos </w:t>
      </w:r>
      <w:r w:rsidRPr="00B82780">
        <w:rPr>
          <w:rFonts w:ascii="Arial" w:hAnsi="Arial" w:cs="Arial"/>
          <w:sz w:val="32"/>
          <w:szCs w:val="32"/>
        </w:rPr>
        <w:lastRenderedPageBreak/>
        <w:t>utilizados e aos resultados alcançados pela instituição sob análise e por um conjunto de instituições similares tomadas como referências. São informações existentes nos sistemas acadêmico e contábil das universidades e, em geral, disponíveis em publicações oficiais.</w:t>
      </w:r>
    </w:p>
    <w:p w14:paraId="7450C4A2" w14:textId="77777777" w:rsidR="005A05B7" w:rsidRPr="00B82780" w:rsidRDefault="005A05B7" w:rsidP="00B82780">
      <w:pPr>
        <w:spacing w:before="240"/>
        <w:jc w:val="both"/>
        <w:rPr>
          <w:rFonts w:ascii="Arial" w:hAnsi="Arial" w:cs="Arial"/>
          <w:b/>
          <w:bCs/>
          <w:sz w:val="32"/>
          <w:szCs w:val="32"/>
        </w:rPr>
      </w:pPr>
    </w:p>
    <w:p w14:paraId="59948159"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A pressuposição fundamental na técnica DEA é que, se uma dada DMU “A” é capaz de produzir Y(A) unidades de produto, utilizando X(A) unidades de insumos, então outras </w:t>
      </w:r>
      <w:proofErr w:type="spellStart"/>
      <w:r w:rsidRPr="00B82780">
        <w:rPr>
          <w:rFonts w:ascii="Arial" w:hAnsi="Arial" w:cs="Arial"/>
          <w:sz w:val="32"/>
          <w:szCs w:val="32"/>
        </w:rPr>
        <w:t>DMU’s</w:t>
      </w:r>
      <w:proofErr w:type="spellEnd"/>
      <w:r w:rsidRPr="00B82780">
        <w:rPr>
          <w:rFonts w:ascii="Arial" w:hAnsi="Arial" w:cs="Arial"/>
          <w:sz w:val="32"/>
          <w:szCs w:val="32"/>
        </w:rPr>
        <w:t xml:space="preserve"> poderiam também fazer o mesmo, caso elas estejam operando eficientemente. De forma similar, se uma DMU “B” é capaz de produzir Y(B) unidades de produto, utilizando X(B) de insumos, então outras </w:t>
      </w:r>
      <w:proofErr w:type="spellStart"/>
      <w:r w:rsidRPr="00B82780">
        <w:rPr>
          <w:rFonts w:ascii="Arial" w:hAnsi="Arial" w:cs="Arial"/>
          <w:sz w:val="32"/>
          <w:szCs w:val="32"/>
        </w:rPr>
        <w:t>DMU’s</w:t>
      </w:r>
      <w:proofErr w:type="spellEnd"/>
      <w:r w:rsidRPr="00B82780">
        <w:rPr>
          <w:rFonts w:ascii="Arial" w:hAnsi="Arial" w:cs="Arial"/>
          <w:sz w:val="32"/>
          <w:szCs w:val="32"/>
        </w:rPr>
        <w:t xml:space="preserve"> poderiam ser capazes de realizar o mesmo esquema de produção. Caso as </w:t>
      </w:r>
      <w:proofErr w:type="spellStart"/>
      <w:r w:rsidRPr="00B82780">
        <w:rPr>
          <w:rFonts w:ascii="Arial" w:hAnsi="Arial" w:cs="Arial"/>
          <w:sz w:val="32"/>
          <w:szCs w:val="32"/>
        </w:rPr>
        <w:t>DMU’s</w:t>
      </w:r>
      <w:proofErr w:type="spellEnd"/>
      <w:r w:rsidRPr="00B82780">
        <w:rPr>
          <w:rFonts w:ascii="Arial" w:hAnsi="Arial" w:cs="Arial"/>
          <w:sz w:val="32"/>
          <w:szCs w:val="32"/>
        </w:rPr>
        <w:t xml:space="preserve"> “A” e “</w:t>
      </w:r>
      <w:proofErr w:type="spellStart"/>
      <w:r w:rsidRPr="00B82780">
        <w:rPr>
          <w:rFonts w:ascii="Arial" w:hAnsi="Arial" w:cs="Arial"/>
          <w:sz w:val="32"/>
          <w:szCs w:val="32"/>
        </w:rPr>
        <w:t>B”sejam</w:t>
      </w:r>
      <w:proofErr w:type="spellEnd"/>
      <w:r w:rsidRPr="00B82780">
        <w:rPr>
          <w:rFonts w:ascii="Arial" w:hAnsi="Arial" w:cs="Arial"/>
          <w:sz w:val="32"/>
          <w:szCs w:val="32"/>
        </w:rPr>
        <w:t xml:space="preserve"> eficientes, elas poderiam ser combinadas para formar uma DMU composta, isto é, que utiliza uma combinação de insumos para produzir uma combinação de produtos. Desde que esta DMU composta não necessariamente existe, ela é denominada DMU virtual. A análise DEA consiste em encontrar a melhor DMU virtual para cada DMU da amostra. Caso a DMU virtual seja melhor do que a DMU original, ou por produzir mais com a mesma quantidade de insumos, ou produzir a mesma quantidade usando menos insumos, a DMU original será ineficiente. Percebe-se, portanto, que a fronteira eficiente de produção será aquela que representa as unidades avaliadas que conseguem maximizar o uso dos inputs na produção de outputs ou, ainda, consegue produzir uma quantidade maior de outputs com uma quantidade menor de inputs.</w:t>
      </w:r>
    </w:p>
    <w:p w14:paraId="31330EF8"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A Análise Envoltória de Dados, que é um método de suporte básico da Metodologia do Modelo de Avaliação, é uma técnica determinística e não-paramétrica que mede eficiência relativa de observações homogêneas. A </w:t>
      </w:r>
      <w:r w:rsidRPr="00B82780">
        <w:rPr>
          <w:rFonts w:ascii="Arial" w:hAnsi="Arial" w:cs="Arial"/>
          <w:sz w:val="32"/>
          <w:szCs w:val="32"/>
        </w:rPr>
        <w:lastRenderedPageBreak/>
        <w:t>característica de agregar variáveis e indicadores de avaliação sem exigir que sejam conhecidos pesos relativos entre eles credencia a técnica DEA a ser utilizada no tratamento da informação coletada nos processos de avaliação interna desenvolvidos pelas Universidades Brasileiras. Pesquisas nessa direção podem explorar diversos critérios de avaliação como, por exemplo, identificar indicadores da eficácia dos processos de ensino e aprendizagem a partir da informação da avaliação de cursos em uma universidade. Sendo assim, no que diz respeito à possível aplicação da DEA, é importante notar as possibilidades de exploração das virtudes da metodologia como mecanismo permanente de avaliação comparativa de eficiência. Entre outras razões, porque a técnica possui características positivas de neutralidade, incentiva a construção e o aprimoramento de inventários de recursos e também acolhe participações possíveis e desejáveis de gestores e de agentes na avaliação. Essa participação é fundamental para a qualificação e para a determinação de caminhos possíveis para a fronteira de eficiência e para fins de monitoramento de objetivos.</w:t>
      </w:r>
    </w:p>
    <w:p w14:paraId="0ED21F8E" w14:textId="77777777" w:rsidR="005A05B7" w:rsidRPr="00B82780" w:rsidRDefault="005A05B7" w:rsidP="00B82780">
      <w:pPr>
        <w:spacing w:before="240"/>
        <w:jc w:val="both"/>
        <w:rPr>
          <w:rFonts w:ascii="Arial" w:hAnsi="Arial" w:cs="Arial"/>
          <w:b/>
          <w:bCs/>
          <w:sz w:val="32"/>
          <w:szCs w:val="32"/>
        </w:rPr>
      </w:pPr>
      <w:r w:rsidRPr="00B82780">
        <w:rPr>
          <w:rFonts w:ascii="Arial" w:hAnsi="Arial" w:cs="Arial"/>
          <w:b/>
          <w:bCs/>
          <w:sz w:val="32"/>
          <w:szCs w:val="32"/>
        </w:rPr>
        <w:t>de modelos de fronteira estocástica.</w:t>
      </w:r>
    </w:p>
    <w:p w14:paraId="2E114DCC" w14:textId="77777777" w:rsidR="005A05B7" w:rsidRPr="00B82780" w:rsidRDefault="005A05B7" w:rsidP="00B82780">
      <w:pPr>
        <w:spacing w:before="240"/>
        <w:jc w:val="both"/>
        <w:rPr>
          <w:rFonts w:ascii="Arial" w:hAnsi="Arial" w:cs="Arial"/>
          <w:b/>
          <w:bCs/>
          <w:sz w:val="32"/>
          <w:szCs w:val="32"/>
        </w:rPr>
      </w:pPr>
    </w:p>
    <w:p w14:paraId="68E26253" w14:textId="77777777" w:rsidR="005A05B7" w:rsidRPr="00B82780" w:rsidRDefault="005A05B7" w:rsidP="00B82780">
      <w:pPr>
        <w:spacing w:before="240"/>
        <w:jc w:val="both"/>
        <w:rPr>
          <w:rFonts w:ascii="Arial" w:hAnsi="Arial" w:cs="Arial"/>
          <w:b/>
          <w:bCs/>
          <w:sz w:val="32"/>
          <w:szCs w:val="32"/>
        </w:rPr>
      </w:pPr>
      <w:r w:rsidRPr="00B82780">
        <w:rPr>
          <w:rFonts w:ascii="Arial" w:hAnsi="Arial" w:cs="Arial"/>
          <w:color w:val="202124"/>
          <w:sz w:val="32"/>
          <w:szCs w:val="32"/>
          <w:shd w:val="clear" w:color="auto" w:fill="FFFFFF"/>
        </w:rPr>
        <w:t>O </w:t>
      </w:r>
      <w:r w:rsidRPr="00B82780">
        <w:rPr>
          <w:rFonts w:ascii="Arial" w:hAnsi="Arial" w:cs="Arial"/>
          <w:b/>
          <w:bCs/>
          <w:color w:val="202124"/>
          <w:sz w:val="32"/>
          <w:szCs w:val="32"/>
          <w:shd w:val="clear" w:color="auto" w:fill="FFFFFF"/>
        </w:rPr>
        <w:t>modelo de fronteira estocástica</w:t>
      </w:r>
      <w:r w:rsidRPr="00B82780">
        <w:rPr>
          <w:rFonts w:ascii="Arial" w:hAnsi="Arial" w:cs="Arial"/>
          <w:color w:val="202124"/>
          <w:sz w:val="32"/>
          <w:szCs w:val="32"/>
          <w:shd w:val="clear" w:color="auto" w:fill="FFFFFF"/>
        </w:rPr>
        <w:t xml:space="preserve"> de </w:t>
      </w:r>
      <w:proofErr w:type="spellStart"/>
      <w:r w:rsidRPr="00B82780">
        <w:rPr>
          <w:rFonts w:ascii="Arial" w:hAnsi="Arial" w:cs="Arial"/>
          <w:color w:val="202124"/>
          <w:sz w:val="32"/>
          <w:szCs w:val="32"/>
          <w:shd w:val="clear" w:color="auto" w:fill="FFFFFF"/>
        </w:rPr>
        <w:t>Battese</w:t>
      </w:r>
      <w:proofErr w:type="spellEnd"/>
      <w:r w:rsidRPr="00B82780">
        <w:rPr>
          <w:rFonts w:ascii="Arial" w:hAnsi="Arial" w:cs="Arial"/>
          <w:color w:val="202124"/>
          <w:sz w:val="32"/>
          <w:szCs w:val="32"/>
          <w:shd w:val="clear" w:color="auto" w:fill="FFFFFF"/>
        </w:rPr>
        <w:t> </w:t>
      </w:r>
      <w:r w:rsidRPr="00B82780">
        <w:rPr>
          <w:rFonts w:ascii="Arial" w:hAnsi="Arial" w:cs="Arial"/>
          <w:b/>
          <w:bCs/>
          <w:color w:val="202124"/>
          <w:sz w:val="32"/>
          <w:szCs w:val="32"/>
          <w:shd w:val="clear" w:color="auto" w:fill="FFFFFF"/>
        </w:rPr>
        <w:t>e</w:t>
      </w:r>
      <w:r w:rsidRPr="00B82780">
        <w:rPr>
          <w:rFonts w:ascii="Arial" w:hAnsi="Arial" w:cs="Arial"/>
          <w:color w:val="202124"/>
          <w:sz w:val="32"/>
          <w:szCs w:val="32"/>
          <w:shd w:val="clear" w:color="auto" w:fill="FFFFFF"/>
        </w:rPr>
        <w:t> </w:t>
      </w:r>
      <w:proofErr w:type="spellStart"/>
      <w:r w:rsidRPr="00B82780">
        <w:rPr>
          <w:rFonts w:ascii="Arial" w:hAnsi="Arial" w:cs="Arial"/>
          <w:color w:val="202124"/>
          <w:sz w:val="32"/>
          <w:szCs w:val="32"/>
          <w:shd w:val="clear" w:color="auto" w:fill="FFFFFF"/>
        </w:rPr>
        <w:t>Coelli</w:t>
      </w:r>
      <w:proofErr w:type="spellEnd"/>
      <w:r w:rsidRPr="00B82780">
        <w:rPr>
          <w:rFonts w:ascii="Arial" w:hAnsi="Arial" w:cs="Arial"/>
          <w:color w:val="202124"/>
          <w:sz w:val="32"/>
          <w:szCs w:val="32"/>
          <w:shd w:val="clear" w:color="auto" w:fill="FFFFFF"/>
        </w:rPr>
        <w:t xml:space="preserve"> (1995) permite que os efeitos das ineficiências sejam definidos como funções explícitas de fatores específicos das firmas no contexto de dados em painel.</w:t>
      </w:r>
    </w:p>
    <w:p w14:paraId="4FE2F47A" w14:textId="77777777" w:rsidR="005A05B7" w:rsidRPr="00B82780" w:rsidRDefault="005A05B7" w:rsidP="00B82780">
      <w:pPr>
        <w:spacing w:before="240"/>
        <w:jc w:val="both"/>
        <w:rPr>
          <w:rFonts w:ascii="Arial" w:hAnsi="Arial" w:cs="Arial"/>
          <w:b/>
          <w:bCs/>
          <w:sz w:val="32"/>
          <w:szCs w:val="32"/>
        </w:rPr>
      </w:pPr>
    </w:p>
    <w:p w14:paraId="50C9BC7E" w14:textId="77777777" w:rsidR="005A05B7" w:rsidRPr="00B82780" w:rsidRDefault="005A05B7" w:rsidP="00B82780">
      <w:pPr>
        <w:spacing w:before="240"/>
        <w:jc w:val="both"/>
        <w:rPr>
          <w:rFonts w:ascii="Arial" w:hAnsi="Arial" w:cs="Arial"/>
          <w:sz w:val="32"/>
          <w:szCs w:val="32"/>
        </w:rPr>
      </w:pPr>
      <w:r w:rsidRPr="00B82780">
        <w:rPr>
          <w:rFonts w:ascii="Arial" w:hAnsi="Arial" w:cs="Arial"/>
          <w:color w:val="000000"/>
          <w:sz w:val="32"/>
          <w:szCs w:val="32"/>
          <w:shd w:val="clear" w:color="auto" w:fill="F3F3F3"/>
        </w:rPr>
        <w:t xml:space="preserve">O processo de medir a ineficiência de firmas baseia-se em análises de fronteiras, onde a ineficiência é medida como a distância entre os pontos observados da variável resposta e a função de produção, custo ou lucro verdadeiras, </w:t>
      </w:r>
      <w:r w:rsidRPr="00B82780">
        <w:rPr>
          <w:rFonts w:ascii="Arial" w:hAnsi="Arial" w:cs="Arial"/>
          <w:color w:val="000000"/>
          <w:sz w:val="32"/>
          <w:szCs w:val="32"/>
          <w:shd w:val="clear" w:color="auto" w:fill="F3F3F3"/>
        </w:rPr>
        <w:lastRenderedPageBreak/>
        <w:t>dependendo do modelo assumido para descrever a variável resposta. Existe uma variedade de formas funcionais para essas funções e algumas vezes é difícil julgar qual delas deve ser escolhida, visto que a forma verdadeira é desconhecida e pode ser somente aproximada. Em geral, na literatura, dados de produção são analisados assumindo-se modelos multiplicativos que impõem a restrição de que a produção é estritamente positiva e utiliza-se a transformação logarítmica para linearizar o modelo.</w:t>
      </w:r>
    </w:p>
    <w:p w14:paraId="6651153F" w14:textId="77777777" w:rsidR="005A05B7" w:rsidRPr="00B82780" w:rsidRDefault="005A05B7" w:rsidP="00B82780">
      <w:pPr>
        <w:spacing w:before="240"/>
        <w:jc w:val="both"/>
        <w:rPr>
          <w:rFonts w:ascii="Arial" w:hAnsi="Arial" w:cs="Arial"/>
          <w:sz w:val="32"/>
          <w:szCs w:val="32"/>
        </w:rPr>
      </w:pPr>
    </w:p>
    <w:p w14:paraId="4FA90C2B"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PODE INSERIR A METODOLOGIA </w:t>
      </w:r>
    </w:p>
    <w:p w14:paraId="2344B83F" w14:textId="77777777" w:rsidR="005A05B7" w:rsidRPr="00B82780" w:rsidRDefault="005A05B7" w:rsidP="00B82780">
      <w:pPr>
        <w:spacing w:before="240"/>
        <w:jc w:val="both"/>
        <w:rPr>
          <w:rFonts w:ascii="Arial" w:hAnsi="Arial" w:cs="Arial"/>
          <w:sz w:val="32"/>
          <w:szCs w:val="32"/>
        </w:rPr>
      </w:pPr>
    </w:p>
    <w:p w14:paraId="1E5D0E93"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usaram a metodologia de </w:t>
      </w:r>
      <w:proofErr w:type="spellStart"/>
      <w:r w:rsidRPr="00B82780">
        <w:rPr>
          <w:rFonts w:ascii="Arial" w:hAnsi="Arial" w:cs="Arial"/>
          <w:sz w:val="32"/>
          <w:szCs w:val="32"/>
        </w:rPr>
        <w:t>propensity</w:t>
      </w:r>
      <w:proofErr w:type="spellEnd"/>
      <w:r w:rsidRPr="00B82780">
        <w:rPr>
          <w:rFonts w:ascii="Arial" w:hAnsi="Arial" w:cs="Arial"/>
          <w:sz w:val="32"/>
          <w:szCs w:val="32"/>
        </w:rPr>
        <w:t xml:space="preserve"> scores </w:t>
      </w:r>
      <w:proofErr w:type="spellStart"/>
      <w:r w:rsidRPr="00B82780">
        <w:rPr>
          <w:rFonts w:ascii="Arial" w:hAnsi="Arial" w:cs="Arial"/>
          <w:sz w:val="32"/>
          <w:szCs w:val="32"/>
        </w:rPr>
        <w:t>matching</w:t>
      </w:r>
      <w:proofErr w:type="spellEnd"/>
      <w:r w:rsidRPr="00B82780">
        <w:rPr>
          <w:rFonts w:ascii="Arial" w:hAnsi="Arial" w:cs="Arial"/>
          <w:sz w:val="32"/>
          <w:szCs w:val="32"/>
        </w:rPr>
        <w:t xml:space="preserve">. Os autores a partir da base do programa identificaram a primeira e última operação para formar o grupo controle e o grupo comparação. Desse modo, formaram o grupo tratamento com os clientes cujo prazo entre a primeira e a última operação foi de pelo menos 180 dias, e que estavam ativos em 31/12/2010, enquanto, os clientes que fizeram sua primeira operação entre junho e dezembro de 2010 foram considerados como grupo controle. Encontrou-se como resultado geral impacto positivo e significativo nas variáveis de resultado dos empreendimentos atendidos. Dentro da mesma motivação do que foi realizado para o </w:t>
      </w:r>
      <w:proofErr w:type="spellStart"/>
      <w:r w:rsidRPr="00B82780">
        <w:rPr>
          <w:rFonts w:ascii="Arial" w:hAnsi="Arial" w:cs="Arial"/>
          <w:sz w:val="32"/>
          <w:szCs w:val="32"/>
        </w:rPr>
        <w:t>CrediAmigo</w:t>
      </w:r>
      <w:proofErr w:type="spellEnd"/>
      <w:r w:rsidRPr="00B82780">
        <w:rPr>
          <w:rFonts w:ascii="Arial" w:hAnsi="Arial" w:cs="Arial"/>
          <w:sz w:val="32"/>
          <w:szCs w:val="32"/>
        </w:rPr>
        <w:t xml:space="preserve">, o Banco do Nordeste, na condição de principal financiador do Pronaf na região Nordeste e norte de Minas Gerais e Espírito Santo, realizou em parceria com a Fundação Instituto de Pesquisas Econômicas (Fipe), estudo para avaliação do </w:t>
      </w:r>
      <w:proofErr w:type="spellStart"/>
      <w:r w:rsidRPr="00B82780">
        <w:rPr>
          <w:rFonts w:ascii="Arial" w:hAnsi="Arial" w:cs="Arial"/>
          <w:sz w:val="32"/>
          <w:szCs w:val="32"/>
        </w:rPr>
        <w:t>Agroamigo</w:t>
      </w:r>
      <w:proofErr w:type="spellEnd"/>
      <w:r w:rsidRPr="00B82780">
        <w:rPr>
          <w:rFonts w:ascii="Arial" w:hAnsi="Arial" w:cs="Arial"/>
          <w:sz w:val="32"/>
          <w:szCs w:val="32"/>
        </w:rPr>
        <w:t xml:space="preserve"> e do Pronaf B tradicional. O referido estudo foi publicado na forma de livro, intitulado “Cinco anos de </w:t>
      </w:r>
      <w:proofErr w:type="spellStart"/>
      <w:r w:rsidRPr="00B82780">
        <w:rPr>
          <w:rFonts w:ascii="Arial" w:hAnsi="Arial" w:cs="Arial"/>
          <w:sz w:val="32"/>
          <w:szCs w:val="32"/>
        </w:rPr>
        <w:t>Agroamigo</w:t>
      </w:r>
      <w:proofErr w:type="spellEnd"/>
      <w:r w:rsidRPr="00B82780">
        <w:rPr>
          <w:rFonts w:ascii="Arial" w:hAnsi="Arial" w:cs="Arial"/>
          <w:sz w:val="32"/>
          <w:szCs w:val="32"/>
        </w:rPr>
        <w:t xml:space="preserve">: retrato do público e efeitos do Programa”. Nesse estudo, Abramovay et al. (2012) utilizaram o método de </w:t>
      </w:r>
      <w:r w:rsidRPr="00B82780">
        <w:rPr>
          <w:rFonts w:ascii="Arial" w:hAnsi="Arial" w:cs="Arial"/>
          <w:sz w:val="32"/>
          <w:szCs w:val="32"/>
        </w:rPr>
        <w:lastRenderedPageBreak/>
        <w:t xml:space="preserve">diferenças em diferenças para estimar o impacto do Programa em indicadores relacionados à produção, vendas e acumulação de riqueza. A estimativa de impacto do Programa é realizada comparando a evolução das variáveis de interesse em dois grupos: os indivíduos com mais tempo de exposição ao programa (grupo de tratamento), e os indivíduos ingressantes no </w:t>
      </w:r>
      <w:proofErr w:type="spellStart"/>
      <w:r w:rsidRPr="00B82780">
        <w:rPr>
          <w:rFonts w:ascii="Arial" w:hAnsi="Arial" w:cs="Arial"/>
          <w:sz w:val="32"/>
          <w:szCs w:val="32"/>
        </w:rPr>
        <w:t>Agroamigo</w:t>
      </w:r>
      <w:proofErr w:type="spellEnd"/>
      <w:r w:rsidRPr="00B82780">
        <w:rPr>
          <w:rFonts w:ascii="Arial" w:hAnsi="Arial" w:cs="Arial"/>
          <w:sz w:val="32"/>
          <w:szCs w:val="32"/>
        </w:rPr>
        <w:t xml:space="preserve"> (grupo comparação). A metodologia sugere efeitos positivos entre os clientes expostos a mais tempo em comparação aos ingressantes para todas as variáveis estudadas, entretanto, a utilização dos ingressantes como grupo de comparação pode enviesar as estimativas9 . A limitação da construção de um grupo comparação formada por indivíduos não beneficiados também foi retratada na avaliação do PRONAF realizado pela consultoria </w:t>
      </w:r>
      <w:proofErr w:type="spellStart"/>
      <w:r w:rsidRPr="00B82780">
        <w:rPr>
          <w:rFonts w:ascii="Arial" w:hAnsi="Arial" w:cs="Arial"/>
          <w:sz w:val="32"/>
          <w:szCs w:val="32"/>
        </w:rPr>
        <w:t>Datamétrica</w:t>
      </w:r>
      <w:proofErr w:type="spellEnd"/>
      <w:r w:rsidRPr="00B82780">
        <w:rPr>
          <w:rFonts w:ascii="Arial" w:hAnsi="Arial" w:cs="Arial"/>
          <w:sz w:val="32"/>
          <w:szCs w:val="32"/>
        </w:rPr>
        <w:t xml:space="preserve"> (2013) para o Banco do Nordeste. De acordo com Relatório, o ideal seria utilizar agricultores beneficiados pelo programa para constituírem a categoria tratamento, e agricultores não beneficiados para constituírem a categoria comparação. Na impossibilidade dessa estratégia, dada a inexistência de cadastros com nomes e endereços de agricultores não beneficiários, optou-se por formar a categoria comparação pelos beneficiários mais recentes do programa, ou seja, aqueles que possuem um único contrato de crédito com o Banco. A hipótese implícita para adoção desse critério é a de que o impacto do crédito concedido aos agricultores é pequeno devido ao pouco tempo de exposição ao Programa.</w:t>
      </w:r>
    </w:p>
    <w:p w14:paraId="7304CE07" w14:textId="77777777" w:rsidR="005A05B7" w:rsidRPr="00B82780" w:rsidRDefault="005A05B7" w:rsidP="00B82780">
      <w:pPr>
        <w:spacing w:before="240"/>
        <w:jc w:val="both"/>
        <w:rPr>
          <w:rFonts w:ascii="Arial" w:hAnsi="Arial" w:cs="Arial"/>
          <w:sz w:val="32"/>
          <w:szCs w:val="32"/>
        </w:rPr>
      </w:pPr>
    </w:p>
    <w:p w14:paraId="1A60DE54"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A literatura de avaliação mostra diversas alternativas para estimação do impacto de um Programa. A seleção do método dependerá de muitas questões, em especial, de como é definida a participação no tratamento, que pode ser aleatória ou baseada em características observadas ou não pelo avaliador. A inferência correta do parâmetro de </w:t>
      </w:r>
      <w:r w:rsidRPr="00B82780">
        <w:rPr>
          <w:rFonts w:ascii="Arial" w:hAnsi="Arial" w:cs="Arial"/>
          <w:sz w:val="32"/>
          <w:szCs w:val="32"/>
        </w:rPr>
        <w:lastRenderedPageBreak/>
        <w:t xml:space="preserve">interesse dependerá da validade da hipótese de identificação de cada método. Portanto, o avaliador deverá escolher o método com base em uma 11 Principalmente, para aqueles </w:t>
      </w:r>
      <w:proofErr w:type="spellStart"/>
      <w:r w:rsidRPr="00B82780">
        <w:rPr>
          <w:rFonts w:ascii="Arial" w:hAnsi="Arial" w:cs="Arial"/>
          <w:sz w:val="32"/>
          <w:szCs w:val="32"/>
        </w:rPr>
        <w:t>pólos</w:t>
      </w:r>
      <w:proofErr w:type="spellEnd"/>
      <w:r w:rsidRPr="00B82780">
        <w:rPr>
          <w:rFonts w:ascii="Arial" w:hAnsi="Arial" w:cs="Arial"/>
          <w:sz w:val="32"/>
          <w:szCs w:val="32"/>
        </w:rPr>
        <w:t xml:space="preserve"> que incluem as grandes capitais do Nordeste. observação cuidadosa do processo de participação no tratamento, a fim de fundamentar a hipótese de identificação do método adotado. Quando a designação aleatória ao tratamento é bem realizada, o pesquisador não precisa se preocupar com o viés de seleção, uma vez que a </w:t>
      </w:r>
      <w:proofErr w:type="spellStart"/>
      <w:r w:rsidRPr="00B82780">
        <w:rPr>
          <w:rFonts w:ascii="Arial" w:hAnsi="Arial" w:cs="Arial"/>
          <w:sz w:val="32"/>
          <w:szCs w:val="32"/>
        </w:rPr>
        <w:t>aleatorização</w:t>
      </w:r>
      <w:proofErr w:type="spellEnd"/>
      <w:r w:rsidRPr="00B82780">
        <w:rPr>
          <w:rFonts w:ascii="Arial" w:hAnsi="Arial" w:cs="Arial"/>
          <w:sz w:val="32"/>
          <w:szCs w:val="32"/>
        </w:rPr>
        <w:t xml:space="preserve"> torna o tratamento </w:t>
      </w:r>
      <w:proofErr w:type="spellStart"/>
      <w:r w:rsidRPr="00B82780">
        <w:rPr>
          <w:rFonts w:ascii="Arial" w:hAnsi="Arial" w:cs="Arial"/>
          <w:sz w:val="32"/>
          <w:szCs w:val="32"/>
        </w:rPr>
        <w:t>independente</w:t>
      </w:r>
      <w:proofErr w:type="spellEnd"/>
      <w:r w:rsidRPr="00B82780">
        <w:rPr>
          <w:rFonts w:ascii="Arial" w:hAnsi="Arial" w:cs="Arial"/>
          <w:sz w:val="32"/>
          <w:szCs w:val="32"/>
        </w:rPr>
        <w:t xml:space="preserve"> dos resultados potenciais. Entretanto, quando as unidades participam de um programa de forma voluntária, existe um viés de seleção que precisa ser isolado. </w:t>
      </w:r>
      <w:r w:rsidRPr="0013516A">
        <w:rPr>
          <w:rFonts w:ascii="Arial" w:hAnsi="Arial" w:cs="Arial"/>
          <w:sz w:val="32"/>
          <w:szCs w:val="32"/>
          <w:highlight w:val="yellow"/>
        </w:rPr>
        <w:t>Nesses casos, métodos não experimentais fornecem como alternativa o controle por características que influenciam na decisão de participação do tratamento. Se a participação do tratamento é definida por características observadas pelo avaliador, métodos de seleção sob observáveis fornecem uma boa solução para o problema de viés de seleção.</w:t>
      </w:r>
    </w:p>
    <w:p w14:paraId="113DF2B1" w14:textId="77777777" w:rsidR="005A05B7" w:rsidRPr="00B82780" w:rsidRDefault="005A05B7" w:rsidP="00B82780">
      <w:pPr>
        <w:spacing w:before="240"/>
        <w:jc w:val="both"/>
        <w:rPr>
          <w:rFonts w:ascii="Arial" w:hAnsi="Arial" w:cs="Arial"/>
          <w:b/>
          <w:bCs/>
          <w:sz w:val="32"/>
          <w:szCs w:val="32"/>
        </w:rPr>
      </w:pPr>
      <w:r w:rsidRPr="00B82780">
        <w:rPr>
          <w:rFonts w:ascii="Arial" w:hAnsi="Arial" w:cs="Arial"/>
          <w:b/>
          <w:bCs/>
          <w:sz w:val="32"/>
          <w:szCs w:val="32"/>
        </w:rPr>
        <w:t xml:space="preserve">Marco lógico </w:t>
      </w:r>
    </w:p>
    <w:p w14:paraId="1094304B"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Quais são os fundamentos da metodologia? A metodologia do marco lógico (MML) se fundamenta em uma perspectiva racional do processo de formulação de políticas, isto é, parte da seleção de um problema público e da análise de relações de causa e efeito atribuídas a ele para se definir o tipo mais viável de intervenção a se realizar. Adota uma linguagem comum, incentiva o processo participativo de desenho e planejamento, facilitando a comunicação e o acompanhamento pelas partes envolvidas.</w:t>
      </w:r>
    </w:p>
    <w:p w14:paraId="200D655F"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A MML se organiza em duas etapas e cinco passos. Na primeira etapa, o problema motivador do projeto é identificado e estudado. A partir do diagnóstico da situação existente, vislumbra-se a situação desejada, para a qual </w:t>
      </w:r>
      <w:r w:rsidRPr="00B82780">
        <w:rPr>
          <w:rFonts w:ascii="Arial" w:hAnsi="Arial" w:cs="Arial"/>
          <w:sz w:val="32"/>
          <w:szCs w:val="32"/>
        </w:rPr>
        <w:lastRenderedPageBreak/>
        <w:t xml:space="preserve">especificam-se alternativas de solução. Os passos para a concretização dessa etapa são: </w:t>
      </w:r>
      <w:r w:rsidRPr="008B3D8C">
        <w:rPr>
          <w:rFonts w:ascii="Arial" w:hAnsi="Arial" w:cs="Arial"/>
          <w:sz w:val="32"/>
          <w:szCs w:val="32"/>
          <w:highlight w:val="yellow"/>
        </w:rPr>
        <w:t>análise de envolvidos e análise de problemas (imagem da realidade), análise de objetivos (imagem do futuro) e análise de alternativas</w:t>
      </w:r>
      <w:r w:rsidRPr="00B82780">
        <w:rPr>
          <w:rFonts w:ascii="Arial" w:hAnsi="Arial" w:cs="Arial"/>
          <w:sz w:val="32"/>
          <w:szCs w:val="32"/>
        </w:rPr>
        <w:t xml:space="preserve"> ou comparação entre diferentes possibilidades de intervenção (</w:t>
      </w:r>
      <w:proofErr w:type="spellStart"/>
      <w:r w:rsidRPr="00B82780">
        <w:rPr>
          <w:rFonts w:ascii="Arial" w:hAnsi="Arial" w:cs="Arial"/>
          <w:sz w:val="32"/>
          <w:szCs w:val="32"/>
        </w:rPr>
        <w:t>Ortegón</w:t>
      </w:r>
      <w:proofErr w:type="spellEnd"/>
      <w:r w:rsidRPr="00B82780">
        <w:rPr>
          <w:rFonts w:ascii="Arial" w:hAnsi="Arial" w:cs="Arial"/>
          <w:sz w:val="32"/>
          <w:szCs w:val="32"/>
        </w:rPr>
        <w:t xml:space="preserve">; Pacheco; Prieto, 2005). </w:t>
      </w:r>
      <w:r w:rsidRPr="00401638">
        <w:rPr>
          <w:rFonts w:ascii="Arial" w:hAnsi="Arial" w:cs="Arial"/>
          <w:sz w:val="32"/>
          <w:szCs w:val="32"/>
          <w:highlight w:val="yellow"/>
        </w:rPr>
        <w:t>A segunda etapa consiste no planejamento da alternativa mais viável em um plano operativo para a implementação. Nela, o passo a seguir é a elaboração da matriz do marco lógico, documento síntese do programa ou do projeto, em que se especificam os objetivos, os produtos e atividades, os indicadores de acompanhamento e de resultados e os riscos que podem afetar a execução</w:t>
      </w:r>
      <w:r w:rsidRPr="00B82780">
        <w:rPr>
          <w:rFonts w:ascii="Arial" w:hAnsi="Arial" w:cs="Arial"/>
          <w:sz w:val="32"/>
          <w:szCs w:val="32"/>
        </w:rPr>
        <w:t>. A Figura 3 abaixo sintetiza as etapas e passos da Metodologia do Marco Lógico</w:t>
      </w:r>
    </w:p>
    <w:p w14:paraId="3CF6A2DC" w14:textId="77777777" w:rsidR="005A05B7" w:rsidRPr="00B82780" w:rsidRDefault="005A05B7" w:rsidP="00B82780">
      <w:pPr>
        <w:spacing w:before="240"/>
        <w:jc w:val="both"/>
        <w:rPr>
          <w:rFonts w:ascii="Arial" w:hAnsi="Arial" w:cs="Arial"/>
          <w:sz w:val="32"/>
          <w:szCs w:val="32"/>
        </w:rPr>
      </w:pPr>
    </w:p>
    <w:p w14:paraId="5CD2B859"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Figura 3 | Etapas e passo a passo da Metodologia do Marco Lógico ABRINDO A CAIXA DE FERRAMENTAS: MARCO LÓGICO 14 IDENTIFICAÇÃO DO PROBLEMA E ANÁLISE DE SOLUÇÕES Passo 1: Análise de envolvidos Passo 5: Matriz do Marco Lógico Objetivos, produtos e atividades Indicadores Riscos para a execução Passo 2: Análise do problema Passo 3: Análise de objetivos Passo 4: Análise de alternativas</w:t>
      </w:r>
    </w:p>
    <w:p w14:paraId="6E6508A2" w14:textId="77777777"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Figura 4 | A relação entre cadeia causal das políticas públicas e a metodologia do marco lógico 15 Elaboração própria. Análise de alternativas Situação atual problemática Alternativa de projeto I Insumos Atividades Produtos Matriz do Marco Lógico</w:t>
      </w:r>
    </w:p>
    <w:p w14:paraId="35091115" w14:textId="51EA0F89" w:rsidR="005A05B7" w:rsidRPr="00B82780" w:rsidRDefault="005A05B7" w:rsidP="00B82780">
      <w:pPr>
        <w:spacing w:before="240"/>
        <w:jc w:val="both"/>
        <w:rPr>
          <w:rFonts w:ascii="Arial" w:hAnsi="Arial" w:cs="Arial"/>
          <w:sz w:val="32"/>
          <w:szCs w:val="32"/>
        </w:rPr>
      </w:pPr>
      <w:r w:rsidRPr="00B82780">
        <w:rPr>
          <w:rFonts w:ascii="Arial" w:hAnsi="Arial" w:cs="Arial"/>
          <w:sz w:val="32"/>
          <w:szCs w:val="32"/>
        </w:rPr>
        <w:t xml:space="preserve">Passo 1 | Análise de envolvidos ou </w:t>
      </w:r>
      <w:r w:rsidR="00F933C7" w:rsidRPr="00B82780">
        <w:rPr>
          <w:rFonts w:ascii="Arial" w:hAnsi="Arial" w:cs="Arial"/>
          <w:sz w:val="32"/>
          <w:szCs w:val="32"/>
        </w:rPr>
        <w:t>interessados para</w:t>
      </w:r>
      <w:r w:rsidRPr="00B82780">
        <w:rPr>
          <w:rFonts w:ascii="Arial" w:hAnsi="Arial" w:cs="Arial"/>
          <w:sz w:val="32"/>
          <w:szCs w:val="32"/>
        </w:rPr>
        <w:t xml:space="preserve"> iniciar concepção do desenho lógico do programa ou projeto é preciso identificar os indivíduos, os grupos e as instituições que têm algo a ganhar ou a perder com a intervenção; ou </w:t>
      </w:r>
      <w:r w:rsidRPr="00B82780">
        <w:rPr>
          <w:rFonts w:ascii="Arial" w:hAnsi="Arial" w:cs="Arial"/>
          <w:sz w:val="32"/>
          <w:szCs w:val="32"/>
        </w:rPr>
        <w:lastRenderedPageBreak/>
        <w:t xml:space="preserve">que atuam no mesmo contexto e podem ser afetados por ele, positiva ou negativamente. Essa etapa é denominada análise de envolvidos ou de interessados e constitui um ponto central no processo de desenho e de planejamento, pois expressa o contexto de atuação e as forças que aí operam, permitindo mapear pontos de força e de fragilidades relevantes para definir as estratégias de intervenção. Uma análise de interessados precisa considerar os grupos direta ou indiretamente envolvidos no problema e identificar seus interesses em relação a ele, suas percepções quanto às suas causas e consequências, e os recursos existentes para a solução. Os potenciais motivos para alianças ou conflitos também devem ser considerados. Tudo isso para se pensar, antes de tudo, estratégias que fortaleçam os apoios e neutralize as tensões. O quadro 1 propõe um modelo de sistematização da análise de envolvidos. Como percebe o problema Interesses Quadro 1 | Matriz de envolvidos Elaboração própria. Atores envolvidos Ator 1 Ator 2 Recursos de que dispõe Potenciais motivos para construção aliança Potenciais motivos para construção aliança Ações ou contramedidas para construção de alianças e neutralização de conflitos Passo 2 | Análise de problemas usando a árvore de problemas Uma etapa fundamental na formulação de um projeto e da qual dependerá, em grande parte, seu sucesso, é a identificação e análise de um problema e, consequentemente, do valor social que se espera criar com a intervenção. É a partir do problema e da análise de suas causas que se projeta sua solução. O problema, ponto de partida para o desenho de um projeto, não existe independente da construção que se faz sobre ele, como já dissemos anteriormente. Quer dizer, ao identificarmos um problema, o enquadramos a partir da realidade em que ele se insere e de elementos valorativos e cognitivos. É a partir da compreensão e interpretação do problema que são apontadas as alternativas para seu </w:t>
      </w:r>
      <w:r w:rsidRPr="00B82780">
        <w:rPr>
          <w:rFonts w:ascii="Arial" w:hAnsi="Arial" w:cs="Arial"/>
          <w:sz w:val="32"/>
          <w:szCs w:val="32"/>
        </w:rPr>
        <w:lastRenderedPageBreak/>
        <w:t>enfrentamento. A árvore de problemas é uma estratégia possível e consiste em identificar o problema central e estabelecer as relações de causalidade (causas e consequências) envolvidas. É uma forma de visualização, na qual se inserem as causas como raízes, o problema como tronco e as consequências como a copa da árvore.</w:t>
      </w:r>
    </w:p>
    <w:p w14:paraId="1AF713CA" w14:textId="77777777" w:rsidR="005A05B7" w:rsidRPr="00B82780" w:rsidRDefault="005A05B7" w:rsidP="00B82780">
      <w:pPr>
        <w:spacing w:before="240"/>
        <w:jc w:val="both"/>
        <w:rPr>
          <w:rFonts w:ascii="Arial" w:hAnsi="Arial" w:cs="Arial"/>
          <w:sz w:val="32"/>
          <w:szCs w:val="32"/>
        </w:rPr>
      </w:pPr>
    </w:p>
    <w:p w14:paraId="13BEDD9D" w14:textId="77777777" w:rsidR="005A05B7" w:rsidRPr="00B82780" w:rsidRDefault="005A05B7" w:rsidP="00B82780">
      <w:pPr>
        <w:spacing w:before="240"/>
        <w:jc w:val="both"/>
        <w:rPr>
          <w:rFonts w:ascii="Arial" w:hAnsi="Arial" w:cs="Arial"/>
          <w:sz w:val="32"/>
          <w:szCs w:val="32"/>
        </w:rPr>
      </w:pPr>
    </w:p>
    <w:sectPr w:rsidR="005A05B7" w:rsidRPr="00B8278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P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5B7"/>
    <w:rsid w:val="0013516A"/>
    <w:rsid w:val="00401638"/>
    <w:rsid w:val="005A05B7"/>
    <w:rsid w:val="006901F5"/>
    <w:rsid w:val="008B3D8C"/>
    <w:rsid w:val="00B82780"/>
    <w:rsid w:val="00F933C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3E387"/>
  <w15:chartTrackingRefBased/>
  <w15:docId w15:val="{62CBD4FB-2B26-4A4B-97D2-76F1F646B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05B7"/>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C09FC-4591-495C-A307-904905C69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11</Pages>
  <Words>2657</Words>
  <Characters>14348</Characters>
  <Application>Microsoft Office Word</Application>
  <DocSecurity>0</DocSecurity>
  <Lines>119</Lines>
  <Paragraphs>33</Paragraphs>
  <ScaleCrop>false</ScaleCrop>
  <Company/>
  <LinksUpToDate>false</LinksUpToDate>
  <CharactersWithSpaces>16972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7</cp:revision>
  <dcterms:created xsi:type="dcterms:W3CDTF">2022-07-07T16:40:00Z</dcterms:created>
  <dcterms:modified xsi:type="dcterms:W3CDTF">2022-07-08T13:49:00Z</dcterms:modified>
</cp:coreProperties>
</file>