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89FFB" w14:textId="77777777" w:rsidR="001F1151" w:rsidRPr="001F1151" w:rsidRDefault="001F1151" w:rsidP="001F1151">
      <w:pPr>
        <w:spacing w:after="0" w:line="240" w:lineRule="auto"/>
        <w:outlineLvl w:val="1"/>
        <w:rPr>
          <w:rFonts w:ascii="Source Sans Pro" w:eastAsia="Times New Roman" w:hAnsi="Source Sans Pro" w:cs="Times New Roman"/>
          <w:b/>
          <w:bCs/>
          <w:color w:val="2A4070"/>
          <w:sz w:val="36"/>
          <w:szCs w:val="36"/>
          <w:lang w:eastAsia="pt-BR"/>
        </w:rPr>
      </w:pPr>
      <w:r w:rsidRPr="001F1151">
        <w:rPr>
          <w:rFonts w:ascii="Source Sans Pro" w:eastAsia="Times New Roman" w:hAnsi="Source Sans Pro" w:cs="Times New Roman"/>
          <w:b/>
          <w:bCs/>
          <w:color w:val="2A4070"/>
          <w:sz w:val="36"/>
          <w:szCs w:val="36"/>
          <w:lang w:eastAsia="pt-BR"/>
        </w:rPr>
        <w:t>Deficiências de planejamento e gestão durante a pandemia dificultam alcance das metas no setor de educação</w:t>
      </w:r>
    </w:p>
    <w:p w14:paraId="1B0E4D82" w14:textId="77777777" w:rsidR="001F1151" w:rsidRPr="001F1151" w:rsidRDefault="001F1151" w:rsidP="001F1151">
      <w:pPr>
        <w:spacing w:after="150" w:line="240" w:lineRule="auto"/>
        <w:rPr>
          <w:rFonts w:ascii="Source Sans Pro" w:eastAsia="Times New Roman" w:hAnsi="Source Sans Pro" w:cs="Times New Roman"/>
          <w:i/>
          <w:iCs/>
          <w:color w:val="393230"/>
          <w:sz w:val="24"/>
          <w:szCs w:val="24"/>
          <w:lang w:eastAsia="pt-BR"/>
        </w:rPr>
      </w:pPr>
      <w:r w:rsidRPr="001F1151">
        <w:rPr>
          <w:rFonts w:ascii="Source Sans Pro" w:eastAsia="Times New Roman" w:hAnsi="Source Sans Pro" w:cs="Times New Roman"/>
          <w:i/>
          <w:iCs/>
          <w:color w:val="393230"/>
          <w:sz w:val="24"/>
          <w:szCs w:val="24"/>
          <w:lang w:eastAsia="pt-BR"/>
        </w:rPr>
        <w:t>O TCU realizou o 4º acompanhamento do Plano Nacional de Educação (PNE 2014-2024). O Tribunal detectou dificuldades no atingimento das metas previstas, com agravamento da situação em decorrência da pandemia de Covid-19</w:t>
      </w:r>
    </w:p>
    <w:p w14:paraId="0EC0284E" w14:textId="77777777" w:rsidR="001F1151" w:rsidRPr="001F1151" w:rsidRDefault="001F1151" w:rsidP="001F1151">
      <w:pPr>
        <w:spacing w:after="0" w:line="240" w:lineRule="auto"/>
        <w:rPr>
          <w:rFonts w:ascii="Source Sans Pro" w:eastAsia="Times New Roman" w:hAnsi="Source Sans Pro" w:cs="Times New Roman"/>
          <w:b/>
          <w:bCs/>
          <w:color w:val="212121"/>
          <w:lang w:eastAsia="pt-BR"/>
        </w:rPr>
      </w:pPr>
      <w:r w:rsidRPr="001F1151">
        <w:rPr>
          <w:rFonts w:ascii="Source Sans Pro" w:eastAsia="Times New Roman" w:hAnsi="Source Sans Pro" w:cs="Times New Roman"/>
          <w:b/>
          <w:bCs/>
          <w:color w:val="212121"/>
          <w:lang w:eastAsia="pt-BR"/>
        </w:rPr>
        <w:t>Por Secom TCU</w:t>
      </w:r>
    </w:p>
    <w:p w14:paraId="7CD6F506" w14:textId="77777777" w:rsidR="001F1151" w:rsidRPr="001F1151" w:rsidRDefault="001F1151" w:rsidP="001F1151">
      <w:pPr>
        <w:spacing w:after="0" w:line="240" w:lineRule="auto"/>
        <w:rPr>
          <w:rFonts w:ascii="Source Sans Pro" w:eastAsia="Times New Roman" w:hAnsi="Source Sans Pro" w:cs="Times New Roman"/>
          <w:color w:val="212121"/>
          <w:lang w:eastAsia="pt-BR"/>
        </w:rPr>
      </w:pPr>
      <w:r w:rsidRPr="001F1151">
        <w:rPr>
          <w:rFonts w:ascii="Source Sans Pro" w:eastAsia="Times New Roman" w:hAnsi="Source Sans Pro" w:cs="Times New Roman"/>
          <w:color w:val="212121"/>
          <w:lang w:eastAsia="pt-BR"/>
        </w:rPr>
        <w:t>04/11/2021</w:t>
      </w:r>
    </w:p>
    <w:p w14:paraId="5D82EC53" w14:textId="77777777" w:rsidR="001F1151" w:rsidRPr="001F1151" w:rsidRDefault="001F1151" w:rsidP="001F1151">
      <w:pPr>
        <w:spacing w:after="100" w:afterAutospacing="1" w:line="240" w:lineRule="auto"/>
        <w:outlineLvl w:val="2"/>
        <w:rPr>
          <w:rFonts w:ascii="Source Sans Pro" w:eastAsia="Times New Roman" w:hAnsi="Source Sans Pro" w:cs="Times New Roman"/>
          <w:b/>
          <w:bCs/>
          <w:color w:val="2A407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b/>
          <w:bCs/>
          <w:color w:val="2A4070"/>
          <w:sz w:val="27"/>
          <w:szCs w:val="27"/>
          <w:lang w:eastAsia="pt-BR"/>
        </w:rPr>
        <w:t>Categorias</w:t>
      </w:r>
    </w:p>
    <w:p w14:paraId="02B123D1" w14:textId="77777777" w:rsidR="001F1151" w:rsidRPr="001F1151" w:rsidRDefault="001F1151" w:rsidP="001F1151">
      <w:pPr>
        <w:spacing w:after="0" w:line="240" w:lineRule="auto"/>
        <w:rPr>
          <w:rFonts w:ascii="Source Sans Pro" w:eastAsia="Times New Roman" w:hAnsi="Source Sans Pro" w:cs="Times New Roman"/>
          <w:color w:val="212121"/>
          <w:lang w:eastAsia="pt-BR"/>
        </w:rPr>
      </w:pPr>
      <w:r w:rsidRPr="001F1151">
        <w:rPr>
          <w:rFonts w:ascii="Source Sans Pro" w:eastAsia="Times New Roman" w:hAnsi="Source Sans Pro" w:cs="Times New Roman"/>
          <w:color w:val="212121"/>
          <w:lang w:eastAsia="pt-BR"/>
        </w:rPr>
        <w:t> </w:t>
      </w:r>
    </w:p>
    <w:p w14:paraId="60B7BF79" w14:textId="77777777" w:rsidR="001F1151" w:rsidRPr="001F1151" w:rsidRDefault="001F1151" w:rsidP="001F115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212121"/>
          <w:lang w:eastAsia="pt-BR"/>
        </w:rPr>
      </w:pPr>
      <w:r w:rsidRPr="001F1151">
        <w:rPr>
          <w:rFonts w:ascii="Source Sans Pro" w:eastAsia="Times New Roman" w:hAnsi="Source Sans Pro" w:cs="Times New Roman"/>
          <w:color w:val="212121"/>
          <w:lang w:eastAsia="pt-BR"/>
        </w:rPr>
        <w:t>Educação</w:t>
      </w:r>
    </w:p>
    <w:p w14:paraId="043967CB" w14:textId="77777777" w:rsidR="001F1151" w:rsidRPr="001F1151" w:rsidRDefault="001F1151" w:rsidP="001F1151">
      <w:pPr>
        <w:spacing w:line="240" w:lineRule="auto"/>
        <w:jc w:val="both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Arial" w:eastAsia="Times New Roman" w:hAnsi="Arial" w:cs="Arial"/>
          <w:b/>
          <w:bCs/>
          <w:color w:val="002060"/>
          <w:u w:val="single"/>
          <w:shd w:val="clear" w:color="auto" w:fill="FFFFFF"/>
          <w:lang w:eastAsia="pt-BR"/>
        </w:rPr>
        <w:t>RESUMO</w:t>
      </w:r>
    </w:p>
    <w:p w14:paraId="294F9144" w14:textId="77777777" w:rsidR="001F1151" w:rsidRPr="001F1151" w:rsidRDefault="001F1151" w:rsidP="001F1151">
      <w:pPr>
        <w:numPr>
          <w:ilvl w:val="0"/>
          <w:numId w:val="2"/>
        </w:numPr>
        <w:spacing w:line="240" w:lineRule="auto"/>
        <w:ind w:left="1440"/>
        <w:jc w:val="both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Arial" w:eastAsia="Times New Roman" w:hAnsi="Arial" w:cs="Arial"/>
          <w:color w:val="002060"/>
          <w:shd w:val="clear" w:color="auto" w:fill="FFFFFF"/>
          <w:lang w:eastAsia="pt-BR"/>
        </w:rPr>
        <w:t>O TCU realizou o 4º acompanhamento do Plano Nacional de Educação (PNE 2014-2024) e detectou dificuldades no alcance das metas previstas, com agravamento da situação em decorrência da pandemia de Covid-19.</w:t>
      </w:r>
    </w:p>
    <w:p w14:paraId="6C84B238" w14:textId="77777777" w:rsidR="001F1151" w:rsidRPr="001F1151" w:rsidRDefault="001F1151" w:rsidP="001F1151">
      <w:pPr>
        <w:numPr>
          <w:ilvl w:val="0"/>
          <w:numId w:val="3"/>
        </w:numPr>
        <w:spacing w:line="240" w:lineRule="auto"/>
        <w:ind w:left="1440"/>
        <w:jc w:val="both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Arial" w:eastAsia="Times New Roman" w:hAnsi="Arial" w:cs="Arial"/>
          <w:color w:val="002060"/>
          <w:shd w:val="clear" w:color="auto" w:fill="FFFFFF"/>
          <w:lang w:eastAsia="pt-BR"/>
        </w:rPr>
        <w:t>Também foram detectadas deficiências no planejamento estratégico e na gestão de riscos do Ministério da Educação (MEC). Entre os entes subnacionais, há intempestividade e fragilidade na coordenação de ações, além da falta de informações para subsidiar a tomada de decisões estratégicas.</w:t>
      </w:r>
    </w:p>
    <w:p w14:paraId="39B60A5A" w14:textId="77777777" w:rsidR="001F1151" w:rsidRPr="001F1151" w:rsidRDefault="001F1151" w:rsidP="001F1151">
      <w:pPr>
        <w:numPr>
          <w:ilvl w:val="0"/>
          <w:numId w:val="4"/>
        </w:numPr>
        <w:spacing w:line="240" w:lineRule="auto"/>
        <w:ind w:left="1440"/>
        <w:jc w:val="both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Arial" w:eastAsia="Times New Roman" w:hAnsi="Arial" w:cs="Arial"/>
          <w:color w:val="002060"/>
          <w:shd w:val="clear" w:color="auto" w:fill="FFFFFF"/>
          <w:lang w:eastAsia="pt-BR"/>
        </w:rPr>
        <w:t xml:space="preserve">O relator do processo, ministro Augusto </w:t>
      </w:r>
      <w:proofErr w:type="spellStart"/>
      <w:r w:rsidRPr="001F1151">
        <w:rPr>
          <w:rFonts w:ascii="Arial" w:eastAsia="Times New Roman" w:hAnsi="Arial" w:cs="Arial"/>
          <w:color w:val="002060"/>
          <w:shd w:val="clear" w:color="auto" w:fill="FFFFFF"/>
          <w:lang w:eastAsia="pt-BR"/>
        </w:rPr>
        <w:t>Nardes</w:t>
      </w:r>
      <w:proofErr w:type="spellEnd"/>
      <w:r w:rsidRPr="001F1151">
        <w:rPr>
          <w:rFonts w:ascii="Arial" w:eastAsia="Times New Roman" w:hAnsi="Arial" w:cs="Arial"/>
          <w:color w:val="002060"/>
          <w:shd w:val="clear" w:color="auto" w:fill="FFFFFF"/>
          <w:lang w:eastAsia="pt-BR"/>
        </w:rPr>
        <w:t>, comentou que “não temos capacidade de articulação e de previsão diante de uma pandemia como essa para a educação; é preciso ter transversalidade na educação”. Ele ponderou ainda que “esses dois anos sem aulas presenciais para os estudantes que não tiveram a oportunidade de receber educação são uma tragédia para o País”.</w:t>
      </w:r>
    </w:p>
    <w:p w14:paraId="17B7E9DA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O Tribunal de Contas da União (TCU) realizou o acompanhamento do Plano Nacional de Educação (PNE 2014- 2024) para averiguar o desenvolvimento do plano, o cumprimento das obrigações nele contidas e os resultados alcançados. Esta 4ª edição do Acompanhamento do PNE teve como foco as ações do Ministério da Educação (MEC) para reduzir os efeitos da pandemia de Covid-19 na área educacional, em especial na educação básica.</w:t>
      </w:r>
    </w:p>
    <w:p w14:paraId="05930ACB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O acompanhamento do PNE foi feito com a ressalva de que as metas foram estabelecidas antes da pandemia. Ou seja, os quadros tendem a ser piores, ao se considerar a quantidade de crianças que saiu das creches e das escolas de educação infantil nesse período.</w:t>
      </w:r>
    </w:p>
    <w:p w14:paraId="7511C2DE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lastRenderedPageBreak/>
        <w:t>A análise mostrou que a disparidade entre as redes pública e privada tende a se agravar ainda mais em virtude da pandemia, com as aulas on-line, na medida em que as condições de acesso dos estudantes da rede pública são bastante distintas dos estudantes da rede privada.</w:t>
      </w:r>
    </w:p>
    <w:p w14:paraId="456DB689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Os dados da Pnad-Covid, por exemplo, registram que nas regiões Centro-Oeste, Norte e Sul, os estudantes da rede privada sequer mencionaram falta de acesso ou má qualidade da internet como empecilho para realizar as atividades escolares. Já na rede pública, a média entre as regiões foi de 30,69% dos estudantes com dificuldades de acesso.</w:t>
      </w:r>
    </w:p>
    <w:p w14:paraId="1D00713A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Em relação à atuação do MEC como coordenador dos entes subnacionais, o Tribunal constatou que as ações foram fragmentadas, intempestivas e sem foco específico para a resolução dos problemas decorrentes da pandemia. O problema é consequência, em grande parte, da falta de monitoramento adequado e tempestivo da situação dos entes, o que pode agravar ainda mais as desigualdades educacionais, com retrocessos nas metas do PNE.</w:t>
      </w:r>
    </w:p>
    <w:p w14:paraId="35046E2D" w14:textId="77777777" w:rsidR="001F1151" w:rsidRPr="001F1151" w:rsidRDefault="001F1151" w:rsidP="001F1151">
      <w:pPr>
        <w:spacing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b/>
          <w:bCs/>
          <w:color w:val="393230"/>
          <w:sz w:val="27"/>
          <w:szCs w:val="27"/>
          <w:lang w:eastAsia="pt-BR"/>
        </w:rPr>
        <w:t xml:space="preserve">O relator do processo, ministro Augusto </w:t>
      </w:r>
      <w:proofErr w:type="spellStart"/>
      <w:r w:rsidRPr="001F1151">
        <w:rPr>
          <w:rFonts w:ascii="Source Sans Pro" w:eastAsia="Times New Roman" w:hAnsi="Source Sans Pro" w:cs="Times New Roman"/>
          <w:b/>
          <w:bCs/>
          <w:color w:val="393230"/>
          <w:sz w:val="27"/>
          <w:szCs w:val="27"/>
          <w:lang w:eastAsia="pt-BR"/>
        </w:rPr>
        <w:t>Nardes</w:t>
      </w:r>
      <w:proofErr w:type="spellEnd"/>
      <w:r w:rsidRPr="001F1151">
        <w:rPr>
          <w:rFonts w:ascii="Source Sans Pro" w:eastAsia="Times New Roman" w:hAnsi="Source Sans Pro" w:cs="Times New Roman"/>
          <w:b/>
          <w:bCs/>
          <w:color w:val="393230"/>
          <w:sz w:val="27"/>
          <w:szCs w:val="27"/>
          <w:lang w:eastAsia="pt-BR"/>
        </w:rPr>
        <w:t>, comentou que “não temos capacidade de articulação e de previsão diante de uma pandemia como essa para a educação; é preciso ter transversalidade na educação”. Ele ponderou ainda que “esses dois anos sem aulas presenciais para os estudantes que não tiveram a oportunidade de receber educação são uma tragédia para o País”.</w:t>
      </w:r>
    </w:p>
    <w:p w14:paraId="06037F5B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Como exemplo de boas práticas, o Programa Dinheiro Direto na Escola (PDDE Emergencial) transferiu R$ 444,2 milhões às instituições de ensino durante os meses de novembro a dezembro de 2020, para atender quase 29 milhões de alunos do ensino básico.</w:t>
      </w:r>
    </w:p>
    <w:p w14:paraId="4F3972B7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Em consequência dos trabalhos, o TCU recomendou ao MEC que avalie a conveniência e a oportunidade de coordenar junto aos entes subnacionais a implementação de ações estruturantes para melhoria da qualidade do ensino ofertado. O objetivo também é a recuperação dos conteúdos defasados até o momento.</w:t>
      </w:r>
    </w:p>
    <w:p w14:paraId="69F2BA35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A unidade técnica do TCU responsável pela fiscalização foi a Secretaria de Controle Externo da Educação, da Cultura e do Desporto. O relator do processo é o ministro Augusto </w:t>
      </w:r>
      <w:proofErr w:type="spellStart"/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Nardes</w:t>
      </w:r>
      <w:proofErr w:type="spellEnd"/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.</w:t>
      </w:r>
    </w:p>
    <w:p w14:paraId="1FDE7A64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 </w:t>
      </w:r>
    </w:p>
    <w:p w14:paraId="350A20D3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b/>
          <w:bCs/>
          <w:color w:val="393230"/>
          <w:sz w:val="27"/>
          <w:szCs w:val="27"/>
          <w:lang w:eastAsia="pt-BR"/>
        </w:rPr>
        <w:lastRenderedPageBreak/>
        <w:t>Serviço</w:t>
      </w:r>
    </w:p>
    <w:p w14:paraId="609A17F7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Leia a íntegra da decisão: Acórdão 2620/2021 – Plenário</w:t>
      </w:r>
    </w:p>
    <w:p w14:paraId="12964C5B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Processo: </w:t>
      </w:r>
      <w:hyperlink r:id="rId5" w:history="1">
        <w:r w:rsidRPr="001F1151">
          <w:rPr>
            <w:rFonts w:ascii="Source Sans Pro" w:eastAsia="Times New Roman" w:hAnsi="Source Sans Pro" w:cs="Times New Roman"/>
            <w:color w:val="5D7093"/>
            <w:sz w:val="27"/>
            <w:szCs w:val="27"/>
            <w:u w:val="single"/>
            <w:lang w:eastAsia="pt-BR"/>
          </w:rPr>
          <w:t>TC 040.033/2020-1</w:t>
        </w:r>
      </w:hyperlink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 Sessão: 03/11/2021</w:t>
      </w:r>
    </w:p>
    <w:p w14:paraId="2AFBE892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Secom – SG/</w:t>
      </w:r>
      <w:proofErr w:type="spellStart"/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pn</w:t>
      </w:r>
      <w:proofErr w:type="spellEnd"/>
    </w:p>
    <w:p w14:paraId="1D15F4A5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b/>
          <w:bCs/>
          <w:color w:val="393230"/>
          <w:sz w:val="27"/>
          <w:szCs w:val="27"/>
          <w:lang w:eastAsia="pt-BR"/>
        </w:rPr>
        <w:t>Atendimento ao cidadão - e-mail: </w:t>
      </w:r>
      <w:hyperlink r:id="rId6" w:history="1">
        <w:r w:rsidRPr="001F1151">
          <w:rPr>
            <w:rFonts w:ascii="Source Sans Pro" w:eastAsia="Times New Roman" w:hAnsi="Source Sans Pro" w:cs="Times New Roman"/>
            <w:b/>
            <w:bCs/>
            <w:color w:val="5D7093"/>
            <w:sz w:val="27"/>
            <w:szCs w:val="27"/>
            <w:u w:val="single"/>
            <w:lang w:eastAsia="pt-BR"/>
          </w:rPr>
          <w:t>ouvidoria@tcu.gov.br</w:t>
        </w:r>
      </w:hyperlink>
    </w:p>
    <w:p w14:paraId="6E571BFB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b/>
          <w:bCs/>
          <w:color w:val="393230"/>
          <w:sz w:val="27"/>
          <w:szCs w:val="27"/>
          <w:lang w:eastAsia="pt-BR"/>
        </w:rPr>
        <w:t>Atendimento à imprensa - e-mail: </w:t>
      </w:r>
      <w:hyperlink r:id="rId7" w:history="1">
        <w:r w:rsidRPr="001F1151">
          <w:rPr>
            <w:rFonts w:ascii="Source Sans Pro" w:eastAsia="Times New Roman" w:hAnsi="Source Sans Pro" w:cs="Times New Roman"/>
            <w:b/>
            <w:bCs/>
            <w:color w:val="5D7093"/>
            <w:sz w:val="27"/>
            <w:szCs w:val="27"/>
            <w:u w:val="single"/>
            <w:lang w:eastAsia="pt-BR"/>
          </w:rPr>
          <w:t>imprensa@tcu.gov.br</w:t>
        </w:r>
      </w:hyperlink>
    </w:p>
    <w:p w14:paraId="1ED9554F" w14:textId="77777777" w:rsidR="001F1151" w:rsidRPr="001F1151" w:rsidRDefault="001F1151" w:rsidP="001F1151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</w:pPr>
      <w:r w:rsidRPr="001F1151">
        <w:rPr>
          <w:rFonts w:ascii="Source Sans Pro" w:eastAsia="Times New Roman" w:hAnsi="Source Sans Pro" w:cs="Times New Roman"/>
          <w:color w:val="393230"/>
          <w:sz w:val="27"/>
          <w:szCs w:val="27"/>
          <w:lang w:eastAsia="pt-BR"/>
        </w:rPr>
        <w:t> </w:t>
      </w:r>
    </w:p>
    <w:p w14:paraId="2136D0D5" w14:textId="77777777" w:rsidR="001F1151" w:rsidRDefault="001F1151"/>
    <w:sectPr w:rsidR="001F115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C31D3"/>
    <w:multiLevelType w:val="multilevel"/>
    <w:tmpl w:val="4DB6C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6120356"/>
    <w:multiLevelType w:val="multilevel"/>
    <w:tmpl w:val="2FE26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8BD2D0F"/>
    <w:multiLevelType w:val="multilevel"/>
    <w:tmpl w:val="AB903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736162"/>
    <w:multiLevelType w:val="multilevel"/>
    <w:tmpl w:val="5C545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151"/>
    <w:rsid w:val="001F1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9BBB0"/>
  <w15:chartTrackingRefBased/>
  <w15:docId w15:val="{23A1A8F5-96D4-4F9D-AFB8-D3756D69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35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40981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23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116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490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7538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1006619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4579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65663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mprensa@tcu.gov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mprensa@tcu.gov.br" TargetMode="External"/><Relationship Id="rId5" Type="http://schemas.openxmlformats.org/officeDocument/2006/relationships/hyperlink" Target="https://portal.tcu.gov.br/data/files/9D/52/D1/64/6B7EC710C74E7EB7E18818A8/040.033-2020-1%20-%20AN%20-%20Quarto%20ciclo%20PNE%202014-2024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708</Words>
  <Characters>3825</Characters>
  <Application>Microsoft Office Word</Application>
  <DocSecurity>0</DocSecurity>
  <Lines>31</Lines>
  <Paragraphs>9</Paragraphs>
  <ScaleCrop>false</ScaleCrop>
  <Company/>
  <LinksUpToDate>false</LinksUpToDate>
  <CharactersWithSpaces>4524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1</cp:revision>
  <dcterms:created xsi:type="dcterms:W3CDTF">2022-01-12T14:27:00Z</dcterms:created>
  <dcterms:modified xsi:type="dcterms:W3CDTF">2022-01-12T14:28:00Z</dcterms:modified>
</cp:coreProperties>
</file>